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DD" w:rsidRPr="0078780F" w:rsidRDefault="002E73DD" w:rsidP="002E73DD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8E79A57" wp14:editId="7818CBB3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3DD" w:rsidRPr="0078780F" w:rsidRDefault="002E73DD" w:rsidP="002E73DD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Τηλ. 210 8253544,  210-8810013                            Αθήνα, 30/4/2025</w:t>
      </w:r>
    </w:p>
    <w:p w:rsidR="002E73DD" w:rsidRPr="00A678FB" w:rsidRDefault="002E73DD" w:rsidP="002E73DD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2E73DD" w:rsidRDefault="002E73DD" w:rsidP="002E73DD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2E73DD" w:rsidRDefault="002E73DD" w:rsidP="002E73DD">
      <w:pPr>
        <w:rPr>
          <w:sz w:val="36"/>
          <w:szCs w:val="36"/>
        </w:rPr>
      </w:pPr>
    </w:p>
    <w:p w:rsidR="002E73DD" w:rsidRPr="00896045" w:rsidRDefault="002E73DD" w:rsidP="00896045">
      <w:pPr>
        <w:jc w:val="center"/>
        <w:rPr>
          <w:b/>
          <w:sz w:val="28"/>
          <w:szCs w:val="28"/>
        </w:rPr>
      </w:pPr>
      <w:r w:rsidRPr="00896045">
        <w:rPr>
          <w:b/>
          <w:sz w:val="28"/>
          <w:szCs w:val="28"/>
        </w:rPr>
        <w:t>ΔΕΛΤΙΟ ΤΥΠΟΥ</w:t>
      </w:r>
    </w:p>
    <w:p w:rsidR="002E73DD" w:rsidRDefault="002E73DD" w:rsidP="00896045">
      <w:pPr>
        <w:jc w:val="center"/>
        <w:rPr>
          <w:b/>
          <w:sz w:val="28"/>
          <w:szCs w:val="28"/>
        </w:rPr>
      </w:pPr>
      <w:r w:rsidRPr="00896045">
        <w:rPr>
          <w:b/>
          <w:sz w:val="28"/>
          <w:szCs w:val="28"/>
        </w:rPr>
        <w:t>ΘΕΜΑ: Η ΣΤΡΑΤΗΓΙΚΗ ΤΩΝ ΟΙΚΟΝΟΜΙΚΩΝ ΠΑΡΟΧΩΝ</w:t>
      </w:r>
    </w:p>
    <w:p w:rsidR="00896045" w:rsidRPr="00896045" w:rsidRDefault="00896045" w:rsidP="00896045">
      <w:pPr>
        <w:jc w:val="center"/>
        <w:rPr>
          <w:b/>
          <w:sz w:val="28"/>
          <w:szCs w:val="28"/>
        </w:rPr>
      </w:pPr>
    </w:p>
    <w:p w:rsidR="0045067C" w:rsidRPr="00837B69" w:rsidRDefault="0045067C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Με δεδομένο ότι όταν ενισχύονται οικονομικά κοινωνικές ομάδες και ιδίως ευάλωτες, η παροχή θεωρείται καλοδεχούμενη. Βεβαίως, προϋπόθεση σοβαρή είναι αυτή η παροχή </w:t>
      </w:r>
      <w:r w:rsidRPr="00837B69">
        <w:rPr>
          <w:b/>
          <w:sz w:val="24"/>
          <w:szCs w:val="24"/>
        </w:rPr>
        <w:t>να μη χρησιμοποιείται ευκαιριακά για να υποστηρίξει μικροπολιτικές ή επικοινωνιακές σκοπιμότητες</w:t>
      </w:r>
      <w:r w:rsidRPr="00896045">
        <w:rPr>
          <w:sz w:val="24"/>
          <w:szCs w:val="24"/>
        </w:rPr>
        <w:t xml:space="preserve">, αλλά να εμπεριέχεται σε ένα ολοκληρωμένο σχέδιο με </w:t>
      </w:r>
      <w:r w:rsidRPr="00837B69">
        <w:rPr>
          <w:b/>
          <w:sz w:val="24"/>
          <w:szCs w:val="24"/>
        </w:rPr>
        <w:t>σοβαρό και μόνιμο οικονομικό- κοινωνικό σχέδιο.</w:t>
      </w:r>
    </w:p>
    <w:p w:rsidR="0045067C" w:rsidRPr="00837B69" w:rsidRDefault="0045067C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Η πολιτική του «πάρε μία δόση» και βλέπουμε για το μέλλον, για να δημιουργήσουν εντυπώσεις για νέες εξαγγελίες, διατηρούν ένα είδος επικοινωνιακής λογικής που </w:t>
      </w:r>
      <w:r w:rsidR="00AA5C9C" w:rsidRPr="00896045">
        <w:rPr>
          <w:sz w:val="24"/>
          <w:szCs w:val="24"/>
        </w:rPr>
        <w:t xml:space="preserve">αναγεννά το ενδιαφέρον της κοινής γνώμης αλλά το αποτέλεσμα είναι </w:t>
      </w:r>
      <w:r w:rsidR="00AA5C9C" w:rsidRPr="00837B69">
        <w:rPr>
          <w:b/>
          <w:sz w:val="24"/>
          <w:szCs w:val="24"/>
        </w:rPr>
        <w:t xml:space="preserve">αφενός ασήμαντο για τους αποδέκτες αλλά πολιτικά και μη ωφέλιμο γι’ αυτούς που υπόσχονται. </w:t>
      </w:r>
      <w:r w:rsidR="00AA5C9C" w:rsidRPr="00896045">
        <w:rPr>
          <w:sz w:val="24"/>
          <w:szCs w:val="24"/>
        </w:rPr>
        <w:t xml:space="preserve">Η κομματική αυτή πολιτική των υποσχέσεων μοιάζει με τα φαινόμενα των μαζών που βγάζουν «φαινόμενα» από το καπέλο και προφανώς </w:t>
      </w:r>
      <w:r w:rsidR="00AA5C9C" w:rsidRPr="00837B69">
        <w:rPr>
          <w:b/>
          <w:sz w:val="24"/>
          <w:szCs w:val="24"/>
        </w:rPr>
        <w:t>όχι μόνο δεν προστατεύει την εμπιστοσύνη</w:t>
      </w:r>
      <w:r w:rsidR="00AA5C9C" w:rsidRPr="00896045">
        <w:rPr>
          <w:sz w:val="24"/>
          <w:szCs w:val="24"/>
        </w:rPr>
        <w:t xml:space="preserve"> αλλά αντιθέτως την </w:t>
      </w:r>
      <w:r w:rsidR="00AA5C9C" w:rsidRPr="00837B69">
        <w:rPr>
          <w:b/>
          <w:sz w:val="24"/>
          <w:szCs w:val="24"/>
        </w:rPr>
        <w:t>διαβρώνει</w:t>
      </w:r>
      <w:r w:rsidR="00AA5C9C" w:rsidRPr="00896045">
        <w:rPr>
          <w:sz w:val="24"/>
          <w:szCs w:val="24"/>
        </w:rPr>
        <w:t xml:space="preserve">, αφού αυτή η οικονομική πολιτική δεν εμφανίζεται ως τρόπος που δημιουργεί ειλικρίνεια και σοβαρότητα σχεδιασμού αλλά </w:t>
      </w:r>
      <w:r w:rsidR="00AA5C9C" w:rsidRPr="00837B69">
        <w:rPr>
          <w:b/>
          <w:sz w:val="24"/>
          <w:szCs w:val="24"/>
        </w:rPr>
        <w:t>ως μια αντίδραση</w:t>
      </w:r>
      <w:r w:rsidR="00AA5C9C" w:rsidRPr="00896045">
        <w:rPr>
          <w:sz w:val="24"/>
          <w:szCs w:val="24"/>
        </w:rPr>
        <w:t xml:space="preserve"> που στοχεύει να αντιμετωπίσει </w:t>
      </w:r>
      <w:r w:rsidR="00AA5C9C" w:rsidRPr="00837B69">
        <w:rPr>
          <w:b/>
          <w:sz w:val="24"/>
          <w:szCs w:val="24"/>
        </w:rPr>
        <w:t>την αποδυνάμωση των δημοσκοπικών δεδομένων.</w:t>
      </w:r>
    </w:p>
    <w:p w:rsidR="00AA5C9C" w:rsidRPr="003F3CEF" w:rsidRDefault="00AA5C9C" w:rsidP="0045067C">
      <w:pPr>
        <w:rPr>
          <w:sz w:val="24"/>
          <w:szCs w:val="24"/>
          <w:lang w:val="en-US"/>
        </w:rPr>
      </w:pPr>
      <w:r w:rsidRPr="00896045">
        <w:rPr>
          <w:sz w:val="24"/>
          <w:szCs w:val="24"/>
        </w:rPr>
        <w:t xml:space="preserve">Τελικά και αν ακόμη προκύψει προσωρινή ανάκαμψη, θα προκύψει σύντομα </w:t>
      </w:r>
      <w:r w:rsidRPr="00837B69">
        <w:rPr>
          <w:b/>
          <w:sz w:val="24"/>
          <w:szCs w:val="24"/>
        </w:rPr>
        <w:t>κόστος αποδόμησης του αφηγήματος για σταθερότητα και προγραμματισμό</w:t>
      </w:r>
      <w:r w:rsidRPr="00896045">
        <w:rPr>
          <w:sz w:val="24"/>
          <w:szCs w:val="24"/>
        </w:rPr>
        <w:t xml:space="preserve">. Η οικονομική πολιτική δεν μπορεί να χρησιμοποιείται </w:t>
      </w:r>
      <w:r w:rsidRPr="00837B69">
        <w:rPr>
          <w:b/>
          <w:sz w:val="24"/>
          <w:szCs w:val="24"/>
        </w:rPr>
        <w:t>ως εργαλείο</w:t>
      </w:r>
      <w:r w:rsidRPr="00896045">
        <w:rPr>
          <w:sz w:val="24"/>
          <w:szCs w:val="24"/>
        </w:rPr>
        <w:t xml:space="preserve"> για να περιορίσει ή να αφανίσει την όποια οικονομική πολιτική πίεση, αλλά οφείλει να εφαρμόζει κριτήρια  συνοχής και προτεραιοτήτων που χρειάζονται κάθε φορά στην κοινωνική ζωή. </w:t>
      </w:r>
    </w:p>
    <w:p w:rsidR="00AA5C9C" w:rsidRPr="00896045" w:rsidRDefault="00AA5C9C" w:rsidP="0045067C">
      <w:pPr>
        <w:rPr>
          <w:sz w:val="24"/>
          <w:szCs w:val="24"/>
          <w:u w:val="single"/>
        </w:rPr>
      </w:pPr>
    </w:p>
    <w:p w:rsidR="00AA5C9C" w:rsidRPr="00896045" w:rsidRDefault="00AA5C9C" w:rsidP="0045067C">
      <w:pPr>
        <w:rPr>
          <w:b/>
          <w:sz w:val="24"/>
          <w:szCs w:val="24"/>
          <w:u w:val="single"/>
        </w:rPr>
      </w:pPr>
      <w:r w:rsidRPr="00896045">
        <w:rPr>
          <w:b/>
          <w:sz w:val="24"/>
          <w:szCs w:val="24"/>
          <w:u w:val="single"/>
        </w:rPr>
        <w:t>Το επίδομα των 250 ευρώ</w:t>
      </w:r>
    </w:p>
    <w:p w:rsidR="00AA5C9C" w:rsidRPr="00837B69" w:rsidRDefault="00AA5C9C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Σύμφωνα με την ανακοίνωση θεσπίζεται </w:t>
      </w:r>
      <w:r w:rsidRPr="00837B69">
        <w:rPr>
          <w:b/>
          <w:sz w:val="24"/>
          <w:szCs w:val="24"/>
        </w:rPr>
        <w:t>μόνιμη ετήσια οικονομική παροχή 250 ευρώ σε 1,44 εκατομμύρια συνταξιούχους, υπερήλικες, ανασφάλιστους και ανάπηρους με διάφορα προβλήματα.</w:t>
      </w:r>
    </w:p>
    <w:p w:rsidR="00AA5C9C" w:rsidRPr="003F3CEF" w:rsidRDefault="00B94B85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lastRenderedPageBreak/>
        <w:t xml:space="preserve">Το επίδομα αυτό δίνεται σε συνταξιούχους </w:t>
      </w:r>
      <w:r w:rsidRPr="003F3CEF">
        <w:rPr>
          <w:b/>
          <w:sz w:val="24"/>
          <w:szCs w:val="24"/>
        </w:rPr>
        <w:t>άνω  των 65 ετών με τα εξής οικονομικά κριτήρια:</w:t>
      </w:r>
    </w:p>
    <w:p w:rsidR="00B94B85" w:rsidRPr="00896045" w:rsidRDefault="00B94B85" w:rsidP="0045067C">
      <w:pPr>
        <w:rPr>
          <w:sz w:val="24"/>
          <w:szCs w:val="24"/>
        </w:rPr>
      </w:pPr>
      <w:r w:rsidRPr="00896045">
        <w:rPr>
          <w:sz w:val="24"/>
          <w:szCs w:val="24"/>
        </w:rPr>
        <w:t xml:space="preserve">Όσοι άγαμοι έχουν εισόδημα </w:t>
      </w:r>
      <w:r w:rsidRPr="003F3CEF">
        <w:rPr>
          <w:b/>
          <w:sz w:val="24"/>
          <w:szCs w:val="24"/>
        </w:rPr>
        <w:t>έως 14.000 ευρώ</w:t>
      </w:r>
      <w:r w:rsidRPr="00896045">
        <w:rPr>
          <w:sz w:val="24"/>
          <w:szCs w:val="24"/>
        </w:rPr>
        <w:t xml:space="preserve"> και περιουσία </w:t>
      </w:r>
      <w:r w:rsidRPr="003F3CEF">
        <w:rPr>
          <w:b/>
          <w:sz w:val="24"/>
          <w:szCs w:val="24"/>
        </w:rPr>
        <w:t>έως 200.000 ευρώ.</w:t>
      </w:r>
      <w:r w:rsidRPr="00896045">
        <w:rPr>
          <w:sz w:val="24"/>
          <w:szCs w:val="24"/>
        </w:rPr>
        <w:t xml:space="preserve"> </w:t>
      </w:r>
    </w:p>
    <w:p w:rsidR="00B94B85" w:rsidRPr="003F3CEF" w:rsidRDefault="00B94B85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Για έγγαμους τα όρια είναι εισόδημα </w:t>
      </w:r>
      <w:r w:rsidRPr="003F3CEF">
        <w:rPr>
          <w:b/>
          <w:sz w:val="24"/>
          <w:szCs w:val="24"/>
        </w:rPr>
        <w:t>26.000 ευρώ</w:t>
      </w:r>
      <w:r w:rsidRPr="00896045">
        <w:rPr>
          <w:sz w:val="24"/>
          <w:szCs w:val="24"/>
        </w:rPr>
        <w:t xml:space="preserve"> και περιουσία </w:t>
      </w:r>
      <w:r w:rsidRPr="003F3CEF">
        <w:rPr>
          <w:b/>
          <w:sz w:val="24"/>
          <w:szCs w:val="24"/>
        </w:rPr>
        <w:t>300.000 ευρώ.</w:t>
      </w:r>
    </w:p>
    <w:p w:rsidR="00B94B85" w:rsidRPr="003F3CEF" w:rsidRDefault="00B94B85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Το επίδομα αυτό δίνεται σε όλους τους συνταξιούχους που εντάσσονται  στα αναφερόμενα εισοδηματικά κριτήρια, </w:t>
      </w:r>
      <w:r w:rsidRPr="003F3CEF">
        <w:rPr>
          <w:b/>
          <w:sz w:val="24"/>
          <w:szCs w:val="24"/>
        </w:rPr>
        <w:t xml:space="preserve">ανεξάρτητα εάν έχουν ή όχι προσωπική διαφορά. </w:t>
      </w:r>
    </w:p>
    <w:p w:rsidR="00B94B85" w:rsidRPr="003F3CEF" w:rsidRDefault="00B94B85" w:rsidP="0045067C">
      <w:pPr>
        <w:rPr>
          <w:b/>
          <w:sz w:val="24"/>
          <w:szCs w:val="24"/>
        </w:rPr>
      </w:pPr>
      <w:r w:rsidRPr="00896045">
        <w:rPr>
          <w:sz w:val="24"/>
          <w:szCs w:val="24"/>
        </w:rPr>
        <w:t xml:space="preserve">Επίσης η παροχή αυτή </w:t>
      </w:r>
      <w:r w:rsidRPr="003F3CEF">
        <w:rPr>
          <w:b/>
          <w:sz w:val="24"/>
          <w:szCs w:val="24"/>
        </w:rPr>
        <w:t>είναι αφορολόγητη, ανεκχώρητη και ακατάσχετη</w:t>
      </w:r>
      <w:r w:rsidRPr="00896045">
        <w:rPr>
          <w:sz w:val="24"/>
          <w:szCs w:val="24"/>
        </w:rPr>
        <w:t xml:space="preserve">. Δεν μπορεί κανείς ιδιώτης ή το Δημόσιο να τη </w:t>
      </w:r>
      <w:r w:rsidRPr="003F3CEF">
        <w:rPr>
          <w:b/>
          <w:sz w:val="24"/>
          <w:szCs w:val="24"/>
        </w:rPr>
        <w:t>δεσμεύσει ή να συμψηφίσει</w:t>
      </w:r>
      <w:r w:rsidRPr="00896045">
        <w:rPr>
          <w:sz w:val="24"/>
          <w:szCs w:val="24"/>
        </w:rPr>
        <w:t xml:space="preserve"> για οποιοδήποτε βεβαιωμένο χρέος ή οποιαδήποτε φορολογική οφειλή. Επίσης δεν υπόκειται </w:t>
      </w:r>
      <w:r w:rsidRPr="003F3CEF">
        <w:rPr>
          <w:b/>
          <w:sz w:val="24"/>
          <w:szCs w:val="24"/>
        </w:rPr>
        <w:t>σε καμία κράτηση υπέρ ΕΦΚΑ ή υπέρ του Δημοσίου.</w:t>
      </w:r>
    </w:p>
    <w:p w:rsidR="00B94B85" w:rsidRPr="00896045" w:rsidRDefault="00B94B85" w:rsidP="0045067C">
      <w:pPr>
        <w:rPr>
          <w:sz w:val="24"/>
          <w:szCs w:val="24"/>
        </w:rPr>
      </w:pPr>
      <w:r w:rsidRPr="00896045">
        <w:rPr>
          <w:sz w:val="24"/>
          <w:szCs w:val="24"/>
        </w:rPr>
        <w:t xml:space="preserve">Υπολογίζεται ότι αφορά </w:t>
      </w:r>
      <w:r w:rsidRPr="003F3CEF">
        <w:rPr>
          <w:b/>
          <w:sz w:val="24"/>
          <w:szCs w:val="24"/>
        </w:rPr>
        <w:t>1.157.551 συνταξιούχους</w:t>
      </w:r>
      <w:r w:rsidRPr="00896045">
        <w:rPr>
          <w:sz w:val="24"/>
          <w:szCs w:val="24"/>
        </w:rPr>
        <w:t xml:space="preserve"> δηλαδή το </w:t>
      </w:r>
      <w:r w:rsidRPr="003F3CEF">
        <w:rPr>
          <w:b/>
          <w:sz w:val="24"/>
          <w:szCs w:val="24"/>
        </w:rPr>
        <w:t>62% από τους 1.868.041</w:t>
      </w:r>
      <w:r w:rsidRPr="00896045">
        <w:rPr>
          <w:sz w:val="24"/>
          <w:szCs w:val="24"/>
        </w:rPr>
        <w:t xml:space="preserve"> που είναι άνω των 65 ετών. </w:t>
      </w:r>
    </w:p>
    <w:p w:rsidR="00B94B85" w:rsidRPr="00896045" w:rsidRDefault="00B94B85" w:rsidP="0045067C">
      <w:pPr>
        <w:rPr>
          <w:sz w:val="24"/>
          <w:szCs w:val="24"/>
        </w:rPr>
      </w:pPr>
      <w:r w:rsidRPr="00896045">
        <w:rPr>
          <w:sz w:val="24"/>
          <w:szCs w:val="24"/>
        </w:rPr>
        <w:t xml:space="preserve">Επίσης αφορά </w:t>
      </w:r>
      <w:r w:rsidRPr="003F3CEF">
        <w:rPr>
          <w:b/>
          <w:sz w:val="24"/>
          <w:szCs w:val="24"/>
        </w:rPr>
        <w:t>248.823 με αναπηρία</w:t>
      </w:r>
      <w:r w:rsidRPr="00896045">
        <w:rPr>
          <w:sz w:val="24"/>
          <w:szCs w:val="24"/>
        </w:rPr>
        <w:t xml:space="preserve"> καθώς και </w:t>
      </w:r>
      <w:r w:rsidRPr="003F3CEF">
        <w:rPr>
          <w:b/>
          <w:sz w:val="24"/>
          <w:szCs w:val="24"/>
        </w:rPr>
        <w:t>34.357 ανασφάλιστους υπερήλικες</w:t>
      </w:r>
      <w:r w:rsidRPr="00896045">
        <w:rPr>
          <w:sz w:val="24"/>
          <w:szCs w:val="24"/>
        </w:rPr>
        <w:t>.</w:t>
      </w:r>
    </w:p>
    <w:p w:rsidR="00B94B85" w:rsidRPr="00896045" w:rsidRDefault="00B94B85" w:rsidP="0045067C">
      <w:pPr>
        <w:rPr>
          <w:sz w:val="24"/>
          <w:szCs w:val="24"/>
        </w:rPr>
      </w:pPr>
      <w:r w:rsidRPr="00896045">
        <w:rPr>
          <w:sz w:val="24"/>
          <w:szCs w:val="24"/>
        </w:rPr>
        <w:t>Η παροχή αυτή για τους συνταξιούχους, παρά το ότι δεν αντιμετωπίζεται μηδενιστ</w:t>
      </w:r>
      <w:r w:rsidR="00837B69">
        <w:rPr>
          <w:sz w:val="24"/>
          <w:szCs w:val="24"/>
        </w:rPr>
        <w:t xml:space="preserve">ικά, </w:t>
      </w:r>
      <w:r w:rsidR="00837B69" w:rsidRPr="003F3CEF">
        <w:rPr>
          <w:b/>
          <w:sz w:val="24"/>
          <w:szCs w:val="24"/>
        </w:rPr>
        <w:t>έχει αρνητικές παραμέτρους:</w:t>
      </w:r>
    </w:p>
    <w:p w:rsidR="00B94B85" w:rsidRPr="00896045" w:rsidRDefault="00B94B85" w:rsidP="00B94B85">
      <w:pPr>
        <w:pStyle w:val="a4"/>
        <w:numPr>
          <w:ilvl w:val="0"/>
          <w:numId w:val="1"/>
        </w:numPr>
        <w:rPr>
          <w:sz w:val="24"/>
          <w:szCs w:val="24"/>
        </w:rPr>
      </w:pPr>
      <w:r w:rsidRPr="003F3CEF">
        <w:rPr>
          <w:b/>
          <w:sz w:val="24"/>
          <w:szCs w:val="24"/>
        </w:rPr>
        <w:t>Εξαιρεί 1,5 εκ. συνταξιούχους</w:t>
      </w:r>
      <w:r w:rsidRPr="00896045">
        <w:rPr>
          <w:sz w:val="24"/>
          <w:szCs w:val="24"/>
        </w:rPr>
        <w:t xml:space="preserve"> περίπου και μάλιστα τους κάτω των 65 ετών, ανεξάρτητα από το μέγεθος των κριτηρίων που βάζει και οι οποίοι μπορεί να είναι οι φτωχότεροι όλων. Παραγνωρίζεται το γεγονός </w:t>
      </w:r>
      <w:r w:rsidRPr="003F3CEF">
        <w:rPr>
          <w:b/>
          <w:sz w:val="24"/>
          <w:szCs w:val="24"/>
        </w:rPr>
        <w:t>ότι πάνω από το 90%</w:t>
      </w:r>
      <w:r w:rsidRPr="00896045">
        <w:rPr>
          <w:sz w:val="24"/>
          <w:szCs w:val="24"/>
        </w:rPr>
        <w:t xml:space="preserve"> των συνταξιούχων είναι από χαμηλοσυνταξιούχοι έως οριακά ανεκτής οικονομικής κατάστασης.</w:t>
      </w:r>
    </w:p>
    <w:p w:rsidR="00DC1216" w:rsidRPr="007155DA" w:rsidRDefault="00B94B85" w:rsidP="00DC121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96045">
        <w:rPr>
          <w:sz w:val="24"/>
          <w:szCs w:val="24"/>
        </w:rPr>
        <w:t>Η παροχή σ’ αυτούς που τελικά θα το πάρουν</w:t>
      </w:r>
      <w:r w:rsidR="00362D28" w:rsidRPr="00896045">
        <w:rPr>
          <w:sz w:val="24"/>
          <w:szCs w:val="24"/>
        </w:rPr>
        <w:t xml:space="preserve"> </w:t>
      </w:r>
      <w:r w:rsidR="00362D28" w:rsidRPr="003F3CEF">
        <w:rPr>
          <w:b/>
          <w:sz w:val="24"/>
          <w:szCs w:val="24"/>
        </w:rPr>
        <w:t>είναι 21 ευρώ τον μήνα</w:t>
      </w:r>
      <w:r w:rsidR="00362D28" w:rsidRPr="00896045">
        <w:rPr>
          <w:sz w:val="24"/>
          <w:szCs w:val="24"/>
        </w:rPr>
        <w:t>, που προφανώς καλύπτο</w:t>
      </w:r>
      <w:r w:rsidR="001307F5" w:rsidRPr="00896045">
        <w:rPr>
          <w:sz w:val="24"/>
          <w:szCs w:val="24"/>
        </w:rPr>
        <w:t>υ</w:t>
      </w:r>
      <w:r w:rsidR="00362D28" w:rsidRPr="00896045">
        <w:rPr>
          <w:sz w:val="24"/>
          <w:szCs w:val="24"/>
        </w:rPr>
        <w:t xml:space="preserve">ν ένα μικρό ποσοστό της απώλειας από την ακρίβεια. </w:t>
      </w:r>
    </w:p>
    <w:p w:rsidR="00DC1216" w:rsidRPr="007155DA" w:rsidRDefault="00DC1216" w:rsidP="00DC1216">
      <w:pPr>
        <w:rPr>
          <w:b/>
          <w:sz w:val="24"/>
          <w:szCs w:val="24"/>
          <w:u w:val="single"/>
        </w:rPr>
      </w:pPr>
      <w:r w:rsidRPr="007155DA">
        <w:rPr>
          <w:b/>
          <w:sz w:val="24"/>
          <w:szCs w:val="24"/>
          <w:u w:val="single"/>
        </w:rPr>
        <w:t>ΖΗΤΟΥΜΕ:</w:t>
      </w:r>
    </w:p>
    <w:p w:rsidR="00362D28" w:rsidRPr="00DC1216" w:rsidRDefault="00362D28" w:rsidP="00DC1216">
      <w:pPr>
        <w:pStyle w:val="a4"/>
        <w:numPr>
          <w:ilvl w:val="0"/>
          <w:numId w:val="2"/>
        </w:numPr>
        <w:rPr>
          <w:sz w:val="24"/>
          <w:szCs w:val="24"/>
        </w:rPr>
      </w:pPr>
      <w:r w:rsidRPr="00DC1216">
        <w:rPr>
          <w:sz w:val="24"/>
          <w:szCs w:val="24"/>
        </w:rPr>
        <w:t>Παραμένει ισχυρό και ανυποχώρητο το αίτημα: -</w:t>
      </w:r>
      <w:r w:rsidRPr="00DC1216">
        <w:rPr>
          <w:b/>
          <w:sz w:val="24"/>
          <w:szCs w:val="24"/>
        </w:rPr>
        <w:t>Να αποκατασταθεί άμεσα η απώλεια από τον τιμάριθμο σε όλες τις συντάξεις, κύριες και επικουρικές και σε όλους τους συνταξιούχους και –Να θεσμοθετηθεί για όλους το</w:t>
      </w:r>
      <w:r w:rsidR="001307F5" w:rsidRPr="00DC1216">
        <w:rPr>
          <w:b/>
          <w:sz w:val="24"/>
          <w:szCs w:val="24"/>
        </w:rPr>
        <w:t>υς συνταξιούχους η 13</w:t>
      </w:r>
      <w:r w:rsidR="001307F5" w:rsidRPr="00DC1216">
        <w:rPr>
          <w:b/>
          <w:sz w:val="24"/>
          <w:szCs w:val="24"/>
          <w:vertAlign w:val="superscript"/>
        </w:rPr>
        <w:t>η</w:t>
      </w:r>
      <w:r w:rsidR="001307F5" w:rsidRPr="00DC1216">
        <w:rPr>
          <w:b/>
          <w:sz w:val="24"/>
          <w:szCs w:val="24"/>
        </w:rPr>
        <w:t xml:space="preserve"> και 14</w:t>
      </w:r>
      <w:r w:rsidR="001307F5" w:rsidRPr="00DC1216">
        <w:rPr>
          <w:b/>
          <w:sz w:val="24"/>
          <w:szCs w:val="24"/>
          <w:vertAlign w:val="superscript"/>
        </w:rPr>
        <w:t>η</w:t>
      </w:r>
      <w:r w:rsidR="001307F5" w:rsidRPr="00DC1216">
        <w:rPr>
          <w:b/>
          <w:sz w:val="24"/>
          <w:szCs w:val="24"/>
        </w:rPr>
        <w:t xml:space="preserve"> σύνταξη.</w:t>
      </w:r>
    </w:p>
    <w:p w:rsidR="001307F5" w:rsidRDefault="001307F5" w:rsidP="00DC1216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7155DA">
        <w:rPr>
          <w:sz w:val="24"/>
          <w:szCs w:val="24"/>
        </w:rPr>
        <w:t>Α</w:t>
      </w:r>
      <w:r w:rsidRPr="00896045">
        <w:rPr>
          <w:sz w:val="24"/>
          <w:szCs w:val="24"/>
        </w:rPr>
        <w:t xml:space="preserve">φορολόγητο για όλους τους συνταξιούχους </w:t>
      </w:r>
      <w:r w:rsidRPr="003F3CEF">
        <w:rPr>
          <w:b/>
          <w:sz w:val="24"/>
          <w:szCs w:val="24"/>
        </w:rPr>
        <w:t>με βάση τα 14.000 ευρώ</w:t>
      </w:r>
      <w:r w:rsidRPr="00896045">
        <w:rPr>
          <w:sz w:val="24"/>
          <w:szCs w:val="24"/>
        </w:rPr>
        <w:t xml:space="preserve"> για τους άγαμους και </w:t>
      </w:r>
      <w:r w:rsidRPr="003F3CEF">
        <w:rPr>
          <w:b/>
          <w:sz w:val="24"/>
          <w:szCs w:val="24"/>
        </w:rPr>
        <w:t>σταδιακή αύξηση</w:t>
      </w:r>
      <w:r w:rsidRPr="00896045">
        <w:rPr>
          <w:sz w:val="24"/>
          <w:szCs w:val="24"/>
        </w:rPr>
        <w:t xml:space="preserve"> ανάλογα με τα μέλη της οικογένειας.</w:t>
      </w:r>
      <w:r w:rsidR="002E73DD" w:rsidRPr="00896045">
        <w:rPr>
          <w:sz w:val="24"/>
          <w:szCs w:val="24"/>
        </w:rPr>
        <w:t xml:space="preserve"> Αυτό εξάλλου φαίνεται ότι παραδέχεται και η Κυβέρνηση, αφού ως όριο </w:t>
      </w:r>
      <w:r w:rsidR="002E73DD" w:rsidRPr="003F3CEF">
        <w:rPr>
          <w:b/>
          <w:sz w:val="24"/>
          <w:szCs w:val="24"/>
        </w:rPr>
        <w:t xml:space="preserve">παροχής των 250 ευρώ, που ανακοίνωσε, έθεσε τις 14.000 ευρώ. </w:t>
      </w:r>
    </w:p>
    <w:p w:rsidR="00DC1216" w:rsidRDefault="00DC1216" w:rsidP="00DC1216">
      <w:pPr>
        <w:pStyle w:val="a4"/>
        <w:numPr>
          <w:ilvl w:val="0"/>
          <w:numId w:val="2"/>
        </w:numPr>
        <w:rPr>
          <w:sz w:val="24"/>
          <w:szCs w:val="24"/>
        </w:rPr>
      </w:pPr>
      <w:r w:rsidRPr="007155DA">
        <w:rPr>
          <w:b/>
          <w:sz w:val="24"/>
          <w:szCs w:val="24"/>
        </w:rPr>
        <w:t>Απόδοση των παράνομων κρατήσεων</w:t>
      </w:r>
      <w:r>
        <w:rPr>
          <w:sz w:val="24"/>
          <w:szCs w:val="24"/>
        </w:rPr>
        <w:t xml:space="preserve"> (αναδρομικά 11μήνου</w:t>
      </w:r>
      <w:r w:rsidR="007155DA">
        <w:rPr>
          <w:sz w:val="24"/>
          <w:szCs w:val="24"/>
        </w:rPr>
        <w:t xml:space="preserve"> επικουρικής σύνταξης και Δώρων) άμεσα </w:t>
      </w:r>
      <w:r w:rsidR="007155DA" w:rsidRPr="007155DA">
        <w:rPr>
          <w:b/>
          <w:sz w:val="24"/>
          <w:szCs w:val="24"/>
        </w:rPr>
        <w:t>σε όλους τους συνταξιούχους</w:t>
      </w:r>
      <w:r w:rsidR="007155DA">
        <w:rPr>
          <w:sz w:val="24"/>
          <w:szCs w:val="24"/>
        </w:rPr>
        <w:t xml:space="preserve">, ανεξάρτητα εάν έχουν προσφύγει ή όχι στα Δικαστήρια. </w:t>
      </w:r>
    </w:p>
    <w:p w:rsidR="002E73DD" w:rsidRPr="007155DA" w:rsidRDefault="007155DA" w:rsidP="0045067C">
      <w:pPr>
        <w:pStyle w:val="a4"/>
        <w:numPr>
          <w:ilvl w:val="0"/>
          <w:numId w:val="2"/>
        </w:numPr>
        <w:rPr>
          <w:sz w:val="24"/>
          <w:szCs w:val="24"/>
        </w:rPr>
      </w:pPr>
      <w:r w:rsidRPr="007155DA">
        <w:rPr>
          <w:b/>
          <w:sz w:val="24"/>
          <w:szCs w:val="24"/>
        </w:rPr>
        <w:t>Άμεση ενσωμάτωση της προσωπικής διαφοράς</w:t>
      </w:r>
      <w:r>
        <w:rPr>
          <w:sz w:val="24"/>
          <w:szCs w:val="24"/>
        </w:rPr>
        <w:t xml:space="preserve"> στην κύρια σύνταξη (έχουν απομείνει με προσωπική διαφορά </w:t>
      </w:r>
      <w:r w:rsidRPr="007155DA">
        <w:rPr>
          <w:b/>
          <w:sz w:val="24"/>
          <w:szCs w:val="24"/>
        </w:rPr>
        <w:t>670.000 συντάξεις).</w:t>
      </w:r>
      <w:r>
        <w:rPr>
          <w:sz w:val="24"/>
          <w:szCs w:val="24"/>
        </w:rPr>
        <w:t xml:space="preserve"> </w:t>
      </w:r>
    </w:p>
    <w:p w:rsidR="002E73DD" w:rsidRDefault="002E73DD" w:rsidP="0045067C"/>
    <w:p w:rsidR="00023044" w:rsidRPr="007155DA" w:rsidRDefault="002E73DD" w:rsidP="00715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το Γ</w:t>
      </w:r>
      <w:r w:rsidRPr="002A631D">
        <w:rPr>
          <w:b/>
          <w:sz w:val="28"/>
          <w:szCs w:val="28"/>
        </w:rPr>
        <w:t>ραφ</w:t>
      </w:r>
      <w:r>
        <w:rPr>
          <w:b/>
          <w:sz w:val="28"/>
          <w:szCs w:val="28"/>
        </w:rPr>
        <w:t>είο Ενημέρωσης και Ε</w:t>
      </w:r>
      <w:r w:rsidRPr="002A631D">
        <w:rPr>
          <w:b/>
          <w:sz w:val="28"/>
          <w:szCs w:val="28"/>
        </w:rPr>
        <w:t>πικοινωνίας της ΠΟΠΣ</w:t>
      </w:r>
    </w:p>
    <w:sectPr w:rsidR="00023044" w:rsidRPr="007155DA" w:rsidSect="007155DA">
      <w:footerReference w:type="default" r:id="rId9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8D" w:rsidRDefault="00D3628D">
      <w:pPr>
        <w:spacing w:after="0" w:line="240" w:lineRule="auto"/>
      </w:pPr>
      <w:r>
        <w:separator/>
      </w:r>
    </w:p>
  </w:endnote>
  <w:endnote w:type="continuationSeparator" w:id="0">
    <w:p w:rsidR="00D3628D" w:rsidRDefault="00D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845714"/>
      <w:docPartObj>
        <w:docPartGallery w:val="Page Numbers (Bottom of Page)"/>
        <w:docPartUnique/>
      </w:docPartObj>
    </w:sdtPr>
    <w:sdtEndPr/>
    <w:sdtContent>
      <w:p w:rsidR="00B446CE" w:rsidRDefault="004506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BD">
          <w:rPr>
            <w:noProof/>
          </w:rPr>
          <w:t>1</w:t>
        </w:r>
        <w:r>
          <w:fldChar w:fldCharType="end"/>
        </w:r>
      </w:p>
    </w:sdtContent>
  </w:sdt>
  <w:p w:rsidR="00B446CE" w:rsidRDefault="00D362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8D" w:rsidRDefault="00D3628D">
      <w:pPr>
        <w:spacing w:after="0" w:line="240" w:lineRule="auto"/>
      </w:pPr>
      <w:r>
        <w:separator/>
      </w:r>
    </w:p>
  </w:footnote>
  <w:footnote w:type="continuationSeparator" w:id="0">
    <w:p w:rsidR="00D3628D" w:rsidRDefault="00D3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E4AB4"/>
    <w:multiLevelType w:val="hybridMultilevel"/>
    <w:tmpl w:val="B610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5AA6"/>
    <w:multiLevelType w:val="hybridMultilevel"/>
    <w:tmpl w:val="35D810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DF"/>
    <w:rsid w:val="00023044"/>
    <w:rsid w:val="001307F5"/>
    <w:rsid w:val="00297454"/>
    <w:rsid w:val="002E73DD"/>
    <w:rsid w:val="00362D28"/>
    <w:rsid w:val="003B7F1C"/>
    <w:rsid w:val="003E58DF"/>
    <w:rsid w:val="003F3CEF"/>
    <w:rsid w:val="0045067C"/>
    <w:rsid w:val="00475221"/>
    <w:rsid w:val="0058548F"/>
    <w:rsid w:val="005D14BD"/>
    <w:rsid w:val="005D3FB0"/>
    <w:rsid w:val="007155DA"/>
    <w:rsid w:val="00837B69"/>
    <w:rsid w:val="00896045"/>
    <w:rsid w:val="009E136B"/>
    <w:rsid w:val="00AA5C9C"/>
    <w:rsid w:val="00B25461"/>
    <w:rsid w:val="00B94B85"/>
    <w:rsid w:val="00C31E6D"/>
    <w:rsid w:val="00D3628D"/>
    <w:rsid w:val="00DB53CC"/>
    <w:rsid w:val="00DC1216"/>
    <w:rsid w:val="00F1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5AAA0-C5A0-4E24-B0C7-D4F5627B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0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45067C"/>
  </w:style>
  <w:style w:type="paragraph" w:styleId="a4">
    <w:name w:val="List Paragraph"/>
    <w:basedOn w:val="a"/>
    <w:uiPriority w:val="34"/>
    <w:qFormat/>
    <w:rsid w:val="00B9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cp:lastPrinted>2025-04-30T07:48:00Z</cp:lastPrinted>
  <dcterms:created xsi:type="dcterms:W3CDTF">2025-04-30T11:08:00Z</dcterms:created>
  <dcterms:modified xsi:type="dcterms:W3CDTF">2025-04-30T11:08:00Z</dcterms:modified>
</cp:coreProperties>
</file>