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0"/>
        <w:gridCol w:w="4727"/>
      </w:tblGrid>
      <w:tr w:rsidR="001F5CC0" w:rsidTr="001F5CC0">
        <w:trPr>
          <w:trHeight w:val="4490"/>
        </w:trPr>
        <w:tc>
          <w:tcPr>
            <w:tcW w:w="3920" w:type="dxa"/>
          </w:tcPr>
          <w:p w:rsidR="001F5CC0" w:rsidRDefault="001F5CC0" w:rsidP="000117D1">
            <w:pPr>
              <w:ind w:right="-694"/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</w:pPr>
            <w:bookmarkStart w:id="0" w:name="_GoBack"/>
            <w:bookmarkEnd w:id="0"/>
            <w:r>
              <w:rPr>
                <w:noProof/>
                <w:lang w:eastAsia="el-GR"/>
              </w:rPr>
              <w:drawing>
                <wp:inline distT="0" distB="0" distL="0" distR="0" wp14:anchorId="64811FEF" wp14:editId="48B308DD">
                  <wp:extent cx="1371600" cy="1024255"/>
                  <wp:effectExtent l="0" t="0" r="0" b="444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4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 xml:space="preserve"> </w:t>
            </w:r>
          </w:p>
          <w:p w:rsidR="001F5CC0" w:rsidRPr="0078780F" w:rsidRDefault="001F5CC0" w:rsidP="000117D1">
            <w:pPr>
              <w:ind w:right="-694"/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>Π .Ο . Π . Σ .</w:t>
            </w:r>
          </w:p>
          <w:p w:rsidR="001F5CC0" w:rsidRPr="0078780F" w:rsidRDefault="001F5CC0" w:rsidP="000117D1">
            <w:pPr>
              <w:keepNext/>
              <w:outlineLvl w:val="0"/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>ΠΑΝΕΛΛΗΝΙΑ ΟΜΟΣΠΟΝΔΙΑ</w:t>
            </w:r>
          </w:p>
          <w:p w:rsidR="001F5CC0" w:rsidRPr="0078780F" w:rsidRDefault="001F5CC0" w:rsidP="000117D1">
            <w:pPr>
              <w:keepNext/>
              <w:outlineLvl w:val="0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b/>
                <w:color w:val="000000"/>
                <w:sz w:val="24"/>
                <w:szCs w:val="24"/>
                <w:lang w:eastAsia="el-GR"/>
              </w:rPr>
              <w:t>ΠΟΛΙΤΙΚΩΝ ΣΥΝΤΑΞΙΟΥΧΩΝ</w:t>
            </w:r>
          </w:p>
          <w:p w:rsidR="001F5CC0" w:rsidRPr="00260BEE" w:rsidRDefault="001F5CC0" w:rsidP="000117D1">
            <w:pPr>
              <w:keepNext/>
              <w:outlineLvl w:val="0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>Τηλ. 210 8253544 / 210-8810013</w:t>
            </w:r>
          </w:p>
          <w:p w:rsidR="001F5CC0" w:rsidRPr="0078780F" w:rsidRDefault="001F5CC0" w:rsidP="000117D1">
            <w:pPr>
              <w:keepNext/>
              <w:outlineLvl w:val="0"/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</w:pPr>
            <w:r>
              <w:rPr>
                <w:rFonts w:ascii="Book Antiqua" w:eastAsia="Calibri" w:hAnsi="Book Antiqua" w:cs="Times New Roman"/>
                <w:sz w:val="24"/>
                <w:szCs w:val="24"/>
                <w:lang w:eastAsia="el-GR"/>
              </w:rPr>
              <w:t xml:space="preserve">Τροίας 43, </w:t>
            </w:r>
          </w:p>
          <w:p w:rsidR="001F5CC0" w:rsidRPr="0078780F" w:rsidRDefault="001F5CC0" w:rsidP="000117D1">
            <w:pPr>
              <w:tabs>
                <w:tab w:val="left" w:pos="4125"/>
              </w:tabs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eastAsia="el-GR"/>
              </w:rPr>
            </w:pPr>
            <w:r w:rsidRPr="0078780F"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eastAsia="el-GR"/>
              </w:rPr>
              <w:t xml:space="preserve">ΕΤΟΣ  ΙΔΡΥΣΗΣ 1947 </w:t>
            </w:r>
          </w:p>
          <w:p w:rsidR="001F5CC0" w:rsidRPr="006A19F0" w:rsidRDefault="001F5CC0" w:rsidP="000117D1">
            <w:pPr>
              <w:rPr>
                <w:rFonts w:ascii="Book Antiqua" w:eastAsia="Calibri" w:hAnsi="Book Antiqua" w:cs="Times New Roman"/>
                <w:color w:val="0000FF"/>
                <w:sz w:val="24"/>
                <w:szCs w:val="24"/>
                <w:u w:val="single"/>
                <w:lang w:val="en-US" w:eastAsia="el-GR"/>
              </w:rPr>
            </w:pPr>
            <w:r w:rsidRPr="0078780F"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val="en-US" w:eastAsia="el-GR"/>
              </w:rPr>
              <w:t>email</w:t>
            </w:r>
            <w:r w:rsidRPr="006A19F0">
              <w:rPr>
                <w:rFonts w:ascii="Book Antiqua" w:eastAsia="Calibri" w:hAnsi="Book Antiqua" w:cs="Times New Roman"/>
                <w:color w:val="000000"/>
                <w:sz w:val="24"/>
                <w:szCs w:val="24"/>
                <w:lang w:val="en-US" w:eastAsia="el-GR"/>
              </w:rPr>
              <w:t xml:space="preserve">: </w:t>
            </w:r>
            <w:hyperlink r:id="rId8" w:history="1">
              <w:r w:rsidRPr="0078780F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omopolit</w:t>
              </w:r>
              <w:r w:rsidRPr="006A19F0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@</w:t>
              </w:r>
              <w:r w:rsidRPr="0078780F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otenet</w:t>
              </w:r>
              <w:r w:rsidRPr="006A19F0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.</w:t>
              </w:r>
              <w:r w:rsidRPr="0078780F">
                <w:rPr>
                  <w:rFonts w:ascii="Book Antiqua" w:eastAsia="Calibri" w:hAnsi="Book Antiqua" w:cs="Times New Roman"/>
                  <w:color w:val="0000FF"/>
                  <w:sz w:val="24"/>
                  <w:szCs w:val="24"/>
                  <w:u w:val="single"/>
                  <w:lang w:val="en-US" w:eastAsia="el-GR"/>
                </w:rPr>
                <w:t>gr</w:t>
              </w:r>
            </w:hyperlink>
          </w:p>
          <w:p w:rsidR="001F5CC0" w:rsidRPr="006A19F0" w:rsidRDefault="001F5CC0" w:rsidP="000117D1">
            <w:pPr>
              <w:rPr>
                <w:rFonts w:ascii="Book Antiqua" w:eastAsia="Calibri" w:hAnsi="Book Antiqua" w:cs="Times New Roman"/>
                <w:color w:val="0000FF"/>
                <w:sz w:val="24"/>
                <w:szCs w:val="24"/>
                <w:lang w:val="en-US" w:eastAsia="el-GR"/>
              </w:rPr>
            </w:pPr>
            <w:r>
              <w:rPr>
                <w:rFonts w:ascii="Book Antiqua" w:eastAsia="Calibri" w:hAnsi="Book Antiqua" w:cs="Times New Roman"/>
                <w:color w:val="0000FF"/>
                <w:sz w:val="24"/>
                <w:szCs w:val="24"/>
                <w:lang w:val="en-US" w:eastAsia="el-GR"/>
              </w:rPr>
              <w:t>www</w:t>
            </w:r>
            <w:r w:rsidRPr="006A19F0">
              <w:rPr>
                <w:rFonts w:ascii="Book Antiqua" w:eastAsia="Calibri" w:hAnsi="Book Antiqua" w:cs="Times New Roman"/>
                <w:color w:val="0000FF"/>
                <w:sz w:val="24"/>
                <w:szCs w:val="24"/>
                <w:lang w:val="en-US" w:eastAsia="el-GR"/>
              </w:rPr>
              <w:t>.popsdimosiou.gr</w:t>
            </w:r>
          </w:p>
          <w:p w:rsidR="001F5CC0" w:rsidRPr="006A19F0" w:rsidRDefault="001F5CC0" w:rsidP="000117D1">
            <w:pPr>
              <w:rPr>
                <w:lang w:val="en-US"/>
              </w:rPr>
            </w:pPr>
          </w:p>
        </w:tc>
        <w:tc>
          <w:tcPr>
            <w:tcW w:w="4727" w:type="dxa"/>
          </w:tcPr>
          <w:p w:rsidR="001F5CC0" w:rsidRPr="006A19F0" w:rsidRDefault="001F5CC0" w:rsidP="000117D1">
            <w:pPr>
              <w:rPr>
                <w:lang w:val="en-US"/>
              </w:rPr>
            </w:pPr>
          </w:p>
          <w:p w:rsidR="001F5CC0" w:rsidRPr="006A19F0" w:rsidRDefault="001F5CC0" w:rsidP="000117D1">
            <w:pPr>
              <w:rPr>
                <w:lang w:val="en-US"/>
              </w:rPr>
            </w:pPr>
          </w:p>
          <w:p w:rsidR="001F5CC0" w:rsidRPr="006A19F0" w:rsidRDefault="001F5CC0" w:rsidP="000117D1">
            <w:pPr>
              <w:rPr>
                <w:lang w:val="en-US"/>
              </w:rPr>
            </w:pPr>
          </w:p>
          <w:p w:rsidR="001F5CC0" w:rsidRPr="006A19F0" w:rsidRDefault="001F5CC0" w:rsidP="000117D1">
            <w:pPr>
              <w:rPr>
                <w:lang w:val="en-US"/>
              </w:rPr>
            </w:pPr>
          </w:p>
          <w:p w:rsidR="001F5CC0" w:rsidRPr="006A19F0" w:rsidRDefault="001F5CC0" w:rsidP="000117D1">
            <w:pPr>
              <w:rPr>
                <w:lang w:val="en-US"/>
              </w:rPr>
            </w:pPr>
          </w:p>
          <w:p w:rsidR="001F5CC0" w:rsidRPr="006A19F0" w:rsidRDefault="001F5CC0" w:rsidP="000117D1">
            <w:pPr>
              <w:rPr>
                <w:lang w:val="en-US"/>
              </w:rPr>
            </w:pPr>
          </w:p>
          <w:p w:rsidR="001F5CC0" w:rsidRPr="006A19F0" w:rsidRDefault="001F5CC0" w:rsidP="000117D1">
            <w:pPr>
              <w:jc w:val="right"/>
              <w:rPr>
                <w:rFonts w:ascii="Book Antiqua" w:eastAsia="Calibri" w:hAnsi="Book Antiqua" w:cs="Times New Roman"/>
                <w:sz w:val="24"/>
                <w:szCs w:val="24"/>
                <w:lang w:val="en-US" w:eastAsia="el-GR"/>
              </w:rPr>
            </w:pPr>
          </w:p>
          <w:p w:rsidR="001F5CC0" w:rsidRPr="00A31E06" w:rsidRDefault="000026B1" w:rsidP="00A31E06">
            <w:pPr>
              <w:jc w:val="right"/>
              <w:rPr>
                <w:rFonts w:eastAsia="Calibri" w:cstheme="minorHAnsi"/>
                <w:sz w:val="24"/>
                <w:szCs w:val="24"/>
                <w:lang w:eastAsia="el-GR"/>
              </w:rPr>
            </w:pPr>
            <w:r>
              <w:rPr>
                <w:rFonts w:eastAsia="Calibri" w:cstheme="minorHAnsi"/>
                <w:sz w:val="24"/>
                <w:szCs w:val="24"/>
                <w:lang w:eastAsia="el-GR"/>
              </w:rPr>
              <w:t>Αθήνα, 12</w:t>
            </w:r>
            <w:r w:rsidR="00DE44FF">
              <w:rPr>
                <w:rFonts w:eastAsia="Calibri" w:cstheme="minorHAnsi"/>
                <w:sz w:val="24"/>
                <w:szCs w:val="24"/>
                <w:lang w:eastAsia="el-GR"/>
              </w:rPr>
              <w:t>-6</w:t>
            </w:r>
            <w:r w:rsidR="00DA4402">
              <w:rPr>
                <w:rFonts w:eastAsia="Calibri" w:cstheme="minorHAnsi"/>
                <w:sz w:val="24"/>
                <w:szCs w:val="24"/>
                <w:lang w:eastAsia="el-GR"/>
              </w:rPr>
              <w:t>-2026</w:t>
            </w:r>
            <w:r w:rsidR="001F5CC0" w:rsidRPr="00A31E06">
              <w:rPr>
                <w:rFonts w:eastAsia="Calibri" w:cstheme="minorHAnsi"/>
                <w:sz w:val="24"/>
                <w:szCs w:val="24"/>
                <w:lang w:eastAsia="el-GR"/>
              </w:rPr>
              <w:t xml:space="preserve"> </w:t>
            </w:r>
          </w:p>
          <w:p w:rsidR="001F5CC0" w:rsidRPr="00A31E06" w:rsidRDefault="003821E1" w:rsidP="00A31E06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  <w:lang w:eastAsia="el-GR"/>
              </w:rPr>
              <w:t>Αρ.πρωτ:</w:t>
            </w:r>
            <w:r w:rsidR="00EA79D6">
              <w:rPr>
                <w:rFonts w:eastAsia="Calibri" w:cstheme="minorHAnsi"/>
                <w:sz w:val="24"/>
                <w:szCs w:val="24"/>
                <w:lang w:eastAsia="el-GR"/>
              </w:rPr>
              <w:t xml:space="preserve"> </w:t>
            </w:r>
            <w:r w:rsidR="00217B24">
              <w:rPr>
                <w:rFonts w:eastAsia="Calibri" w:cstheme="minorHAnsi"/>
                <w:sz w:val="24"/>
                <w:szCs w:val="24"/>
                <w:lang w:eastAsia="el-GR"/>
              </w:rPr>
              <w:t>204</w:t>
            </w:r>
            <w:r>
              <w:rPr>
                <w:rFonts w:eastAsia="Calibri" w:cstheme="minorHAnsi"/>
                <w:sz w:val="24"/>
                <w:szCs w:val="24"/>
                <w:lang w:eastAsia="el-GR"/>
              </w:rPr>
              <w:t xml:space="preserve"> </w:t>
            </w:r>
          </w:p>
          <w:p w:rsidR="001F5CC0" w:rsidRPr="00A31E06" w:rsidRDefault="001F5CC0" w:rsidP="00A31E06">
            <w:pPr>
              <w:jc w:val="right"/>
              <w:rPr>
                <w:rFonts w:cstheme="minorHAnsi"/>
                <w:sz w:val="24"/>
                <w:szCs w:val="24"/>
              </w:rPr>
            </w:pPr>
          </w:p>
          <w:p w:rsidR="001F5CC0" w:rsidRPr="00A31E06" w:rsidRDefault="001F5CC0" w:rsidP="000117D1">
            <w:pPr>
              <w:rPr>
                <w:rFonts w:cstheme="minorHAnsi"/>
                <w:sz w:val="24"/>
                <w:szCs w:val="24"/>
              </w:rPr>
            </w:pPr>
          </w:p>
          <w:p w:rsidR="001F5CC0" w:rsidRDefault="00DE44FF" w:rsidP="00DE44FF">
            <w:pPr>
              <w:jc w:val="right"/>
            </w:pPr>
            <w:r>
              <w:rPr>
                <w:rFonts w:cstheme="minorHAnsi"/>
                <w:b/>
                <w:sz w:val="24"/>
                <w:szCs w:val="24"/>
              </w:rPr>
              <w:t>ΠΡΟΣ τους Συλλόγ</w:t>
            </w:r>
            <w:r w:rsidR="007D6640">
              <w:rPr>
                <w:rFonts w:cstheme="minorHAnsi"/>
                <w:b/>
                <w:sz w:val="24"/>
                <w:szCs w:val="24"/>
              </w:rPr>
              <w:t>ους Π</w:t>
            </w:r>
            <w:r w:rsidR="004132E4">
              <w:rPr>
                <w:rFonts w:cstheme="minorHAnsi"/>
                <w:b/>
                <w:sz w:val="24"/>
                <w:szCs w:val="24"/>
              </w:rPr>
              <w:t>ολιτικών Συνταξιούχων- μέλη</w:t>
            </w:r>
            <w:r>
              <w:rPr>
                <w:rFonts w:cstheme="minorHAnsi"/>
                <w:b/>
                <w:sz w:val="24"/>
                <w:szCs w:val="24"/>
              </w:rPr>
              <w:t xml:space="preserve"> της ΠΟΠΣ</w:t>
            </w:r>
          </w:p>
        </w:tc>
      </w:tr>
    </w:tbl>
    <w:p w:rsidR="00F2495B" w:rsidRDefault="00F2495B" w:rsidP="00F2495B">
      <w:pPr>
        <w:rPr>
          <w:rFonts w:ascii="Times New Roman" w:hAnsi="Times New Roman" w:cs="Times New Roman"/>
          <w:b/>
          <w:sz w:val="28"/>
          <w:szCs w:val="28"/>
        </w:rPr>
      </w:pPr>
    </w:p>
    <w:p w:rsidR="00F2495B" w:rsidRDefault="00F2495B" w:rsidP="00F2495B">
      <w:pPr>
        <w:rPr>
          <w:rFonts w:ascii="Times New Roman" w:hAnsi="Times New Roman" w:cs="Times New Roman"/>
          <w:b/>
          <w:sz w:val="28"/>
          <w:szCs w:val="28"/>
        </w:rPr>
      </w:pPr>
    </w:p>
    <w:p w:rsidR="00A31E06" w:rsidRDefault="00B954CE" w:rsidP="00682EFC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Θέμα: </w:t>
      </w:r>
      <w:r w:rsidR="000026B1">
        <w:rPr>
          <w:rFonts w:cstheme="minorHAnsi"/>
          <w:b/>
          <w:sz w:val="24"/>
          <w:szCs w:val="24"/>
        </w:rPr>
        <w:t xml:space="preserve">Δικαστικές προσφυγές </w:t>
      </w:r>
    </w:p>
    <w:p w:rsidR="003821E1" w:rsidRDefault="003821E1" w:rsidP="00682EFC">
      <w:pPr>
        <w:rPr>
          <w:rFonts w:cstheme="minorHAnsi"/>
          <w:b/>
          <w:sz w:val="24"/>
          <w:szCs w:val="24"/>
        </w:rPr>
      </w:pPr>
    </w:p>
    <w:p w:rsidR="001D4EDE" w:rsidRPr="007D6640" w:rsidRDefault="00DE44FF" w:rsidP="00DE44FF">
      <w:pPr>
        <w:rPr>
          <w:rFonts w:cstheme="minorHAnsi"/>
          <w:b/>
          <w:sz w:val="24"/>
          <w:szCs w:val="24"/>
        </w:rPr>
      </w:pPr>
      <w:r w:rsidRPr="007D6640">
        <w:rPr>
          <w:rFonts w:cstheme="minorHAnsi"/>
          <w:b/>
          <w:sz w:val="24"/>
          <w:szCs w:val="24"/>
        </w:rPr>
        <w:t>Αγαπητοί Συνάδελφοι,</w:t>
      </w:r>
    </w:p>
    <w:p w:rsidR="007D6640" w:rsidRDefault="000026B1" w:rsidP="000026B1">
      <w:pPr>
        <w:rPr>
          <w:rFonts w:cstheme="minorHAnsi"/>
          <w:sz w:val="24"/>
          <w:szCs w:val="24"/>
        </w:rPr>
      </w:pPr>
      <w:r w:rsidRPr="00913182">
        <w:rPr>
          <w:rFonts w:cstheme="minorHAnsi"/>
          <w:b/>
          <w:sz w:val="24"/>
          <w:szCs w:val="24"/>
        </w:rPr>
        <w:t>Το θέμα των προσφυγών για διεκδικήσεις θεμάτων που μας ενδιαφέρουν ή για προστασία ή ακύρωση άδικων και παράνομων αποφάσεων</w:t>
      </w:r>
      <w:r>
        <w:rPr>
          <w:rFonts w:cstheme="minorHAnsi"/>
          <w:sz w:val="24"/>
          <w:szCs w:val="24"/>
        </w:rPr>
        <w:t xml:space="preserve"> που προέρχονται από τις εκάστοτε ηγεσίες </w:t>
      </w:r>
      <w:r w:rsidR="00440946">
        <w:rPr>
          <w:rFonts w:cstheme="minorHAnsi"/>
          <w:sz w:val="24"/>
          <w:szCs w:val="24"/>
        </w:rPr>
        <w:t xml:space="preserve">των κυβερνήσεων ή ακόμη και από διοικητικές υπηρεσίες που διαχειρίζονται καίρια ζητήματα, για τα οποία έχουμε άμεσο ή έμμεσο ενδιαφέρον, </w:t>
      </w:r>
      <w:r w:rsidR="00440946" w:rsidRPr="00913182">
        <w:rPr>
          <w:rFonts w:cstheme="minorHAnsi"/>
          <w:b/>
          <w:sz w:val="24"/>
          <w:szCs w:val="24"/>
        </w:rPr>
        <w:t>ήταν ένα ισχυρό όπλο</w:t>
      </w:r>
      <w:r w:rsidR="00440946">
        <w:rPr>
          <w:rFonts w:cstheme="minorHAnsi"/>
          <w:sz w:val="24"/>
          <w:szCs w:val="24"/>
        </w:rPr>
        <w:t xml:space="preserve">, μετά τις διπλωματικές και αγωνιστικές προσπάθειες, που χρησιμοποιεί το συνδικαλιστικό κίνημα. </w:t>
      </w:r>
    </w:p>
    <w:p w:rsidR="00440946" w:rsidRPr="00913182" w:rsidRDefault="00440946" w:rsidP="000026B1">
      <w:pPr>
        <w:rPr>
          <w:rFonts w:cstheme="minorHAnsi"/>
          <w:b/>
          <w:sz w:val="24"/>
          <w:szCs w:val="24"/>
        </w:rPr>
      </w:pPr>
      <w:r w:rsidRPr="00913182">
        <w:rPr>
          <w:rFonts w:cstheme="minorHAnsi"/>
          <w:b/>
          <w:sz w:val="24"/>
          <w:szCs w:val="24"/>
        </w:rPr>
        <w:t>Εξάλλου, πολλές προσφυγές, τόσο των συνδικάτων όσο και πολλών</w:t>
      </w:r>
      <w:r w:rsidR="00913182" w:rsidRPr="00913182">
        <w:rPr>
          <w:rFonts w:cstheme="minorHAnsi"/>
          <w:b/>
          <w:sz w:val="24"/>
          <w:szCs w:val="24"/>
        </w:rPr>
        <w:t xml:space="preserve"> φυσικών μελών</w:t>
      </w:r>
      <w:r>
        <w:rPr>
          <w:rFonts w:cstheme="minorHAnsi"/>
          <w:sz w:val="24"/>
          <w:szCs w:val="24"/>
        </w:rPr>
        <w:t xml:space="preserve"> που γίνονται ατομικά ή ομαδικά στα δικαστήρια, </w:t>
      </w:r>
      <w:r w:rsidRPr="00913182">
        <w:rPr>
          <w:rFonts w:cstheme="minorHAnsi"/>
          <w:b/>
          <w:sz w:val="24"/>
          <w:szCs w:val="24"/>
        </w:rPr>
        <w:t>έχουν αποκαταστήσει πολλές αδικίες και έχουν ακυρώσει πολλές παρατυπίες και παρανομίες.</w:t>
      </w:r>
    </w:p>
    <w:p w:rsidR="00440946" w:rsidRDefault="00440946" w:rsidP="000026B1">
      <w:pPr>
        <w:rPr>
          <w:rFonts w:cstheme="minorHAnsi"/>
          <w:sz w:val="24"/>
          <w:szCs w:val="24"/>
        </w:rPr>
      </w:pPr>
      <w:r w:rsidRPr="00913182">
        <w:rPr>
          <w:rFonts w:cstheme="minorHAnsi"/>
          <w:b/>
          <w:sz w:val="24"/>
          <w:szCs w:val="24"/>
        </w:rPr>
        <w:t>Θυμίζουμε τις μεγάλες αποφάσεις 2287 και 2288 του Συμβουλίου της Επικρατείας , που ακύρωσαν τους μνημονιακούς νόμους</w:t>
      </w:r>
      <w:r>
        <w:rPr>
          <w:rFonts w:cstheme="minorHAnsi"/>
          <w:sz w:val="24"/>
          <w:szCs w:val="24"/>
        </w:rPr>
        <w:t xml:space="preserve"> που κατακρεούργησαν τις συντάξεις μας, όπως ο 4051 και ο 4093 κλπ</w:t>
      </w:r>
      <w:r w:rsidR="007E5FC7">
        <w:rPr>
          <w:rFonts w:cstheme="minorHAnsi"/>
          <w:sz w:val="24"/>
          <w:szCs w:val="24"/>
        </w:rPr>
        <w:t xml:space="preserve">, οι οποίες όμως ανατράπηκαν με </w:t>
      </w:r>
      <w:r w:rsidR="007E5FC7" w:rsidRPr="00913182">
        <w:rPr>
          <w:rFonts w:cstheme="minorHAnsi"/>
          <w:b/>
          <w:sz w:val="24"/>
          <w:szCs w:val="24"/>
        </w:rPr>
        <w:t>τον γνωστό νόμο 4387/2016 (ν.Κατρούγκαλου)</w:t>
      </w:r>
      <w:r w:rsidR="007E5FC7">
        <w:rPr>
          <w:rFonts w:cstheme="minorHAnsi"/>
          <w:sz w:val="24"/>
          <w:szCs w:val="24"/>
        </w:rPr>
        <w:t>, που περιόρισε την παρανομία της περικοπής των συντάξεων μόνο στο 11μηνο (Ιούνιος 2015-Μάιος 2016) και ο οποίος, δυστυχώς, κρίθηκε συνταγματικός με μία μόνο</w:t>
      </w:r>
      <w:r w:rsidR="00913182">
        <w:rPr>
          <w:rFonts w:cstheme="minorHAnsi"/>
          <w:sz w:val="24"/>
          <w:szCs w:val="24"/>
        </w:rPr>
        <w:t xml:space="preserve"> ψήφο</w:t>
      </w:r>
      <w:r w:rsidR="007E5FC7">
        <w:rPr>
          <w:rFonts w:cstheme="minorHAnsi"/>
          <w:sz w:val="24"/>
          <w:szCs w:val="24"/>
        </w:rPr>
        <w:t xml:space="preserve"> στην Ολομέλεια του Συμβουλίου Επικρατείας. (</w:t>
      </w:r>
      <w:r w:rsidR="007E5FC7" w:rsidRPr="00913182">
        <w:rPr>
          <w:rFonts w:cstheme="minorHAnsi"/>
          <w:b/>
          <w:sz w:val="24"/>
          <w:szCs w:val="24"/>
        </w:rPr>
        <w:t>13 ΝΑΙ και 12 ΟΧΙ).</w:t>
      </w:r>
    </w:p>
    <w:p w:rsidR="007E5FC7" w:rsidRDefault="007E5FC7" w:rsidP="000026B1">
      <w:pPr>
        <w:rPr>
          <w:rFonts w:cstheme="minorHAnsi"/>
          <w:sz w:val="24"/>
          <w:szCs w:val="24"/>
        </w:rPr>
      </w:pPr>
      <w:r w:rsidRPr="00913182">
        <w:rPr>
          <w:rFonts w:cstheme="minorHAnsi"/>
          <w:b/>
          <w:sz w:val="24"/>
          <w:szCs w:val="24"/>
        </w:rPr>
        <w:t>Μετά από αυτά και επειδή πολλοί συνάδελφοι</w:t>
      </w:r>
      <w:r>
        <w:rPr>
          <w:rFonts w:cstheme="minorHAnsi"/>
          <w:sz w:val="24"/>
          <w:szCs w:val="24"/>
        </w:rPr>
        <w:t>, όπως μας ενημερώνουν, γίνονται δέκτες προσκλήσεων από δικηγορικά γραφεία που τους παροτρύνουν να καταθέσουν αγωγές, για να διεκδικήσουν αναδρομικά</w:t>
      </w:r>
      <w:r w:rsidR="00913182">
        <w:rPr>
          <w:rFonts w:cstheme="minorHAnsi"/>
          <w:sz w:val="24"/>
          <w:szCs w:val="24"/>
        </w:rPr>
        <w:t>, που κατά τη νομική τους άποψη, παρανόμως έχουν περι</w:t>
      </w:r>
      <w:r>
        <w:rPr>
          <w:rFonts w:cstheme="minorHAnsi"/>
          <w:sz w:val="24"/>
          <w:szCs w:val="24"/>
        </w:rPr>
        <w:t>κοπεί από</w:t>
      </w:r>
      <w:r w:rsidR="00913182">
        <w:rPr>
          <w:rFonts w:cstheme="minorHAnsi"/>
          <w:sz w:val="24"/>
          <w:szCs w:val="24"/>
        </w:rPr>
        <w:t xml:space="preserve"> τις επικουρικές τους συντάξεις, </w:t>
      </w:r>
      <w:r>
        <w:rPr>
          <w:rFonts w:cstheme="minorHAnsi"/>
          <w:sz w:val="24"/>
          <w:szCs w:val="24"/>
        </w:rPr>
        <w:t>από το 2020 και εντεύθεν, σας ενημερώνουμε για τα εξής:</w:t>
      </w:r>
    </w:p>
    <w:p w:rsidR="007E5FC7" w:rsidRDefault="007E5FC7" w:rsidP="000026B1">
      <w:pPr>
        <w:rPr>
          <w:rFonts w:cstheme="minorHAnsi"/>
          <w:sz w:val="24"/>
          <w:szCs w:val="24"/>
        </w:rPr>
      </w:pPr>
      <w:r w:rsidRPr="00913182">
        <w:rPr>
          <w:rFonts w:cstheme="minorHAnsi"/>
          <w:b/>
          <w:sz w:val="24"/>
          <w:szCs w:val="24"/>
        </w:rPr>
        <w:lastRenderedPageBreak/>
        <w:t>Η άποψη της Ομοσπονδίας μας που έχει και τη γνώμη των νομικών συνεργατών μας</w:t>
      </w:r>
      <w:r>
        <w:rPr>
          <w:rFonts w:cstheme="minorHAnsi"/>
          <w:sz w:val="24"/>
          <w:szCs w:val="24"/>
        </w:rPr>
        <w:t xml:space="preserve"> και χωρίς να αμφισβητούμε τη νομική εκτίμηση των δικηγορικών γραφείων που θέλουν να αναλάβουν τέτοιες αγωγές διεκδίκησης αναδρομικών, </w:t>
      </w:r>
      <w:r w:rsidRPr="00913182">
        <w:rPr>
          <w:rFonts w:cstheme="minorHAnsi"/>
          <w:b/>
          <w:sz w:val="24"/>
          <w:szCs w:val="24"/>
        </w:rPr>
        <w:t>είναι πως αυτό έγκειται στην προσωπική επιλογή κάθε συναδέλφου,</w:t>
      </w:r>
      <w:r>
        <w:rPr>
          <w:rFonts w:cstheme="minorHAnsi"/>
          <w:sz w:val="24"/>
          <w:szCs w:val="24"/>
        </w:rPr>
        <w:t xml:space="preserve"> αφού αναλαμβάνει ο ίδιος την ευθύνη της προσφυγής αλλά και την όποια οικονομική επιβάρυνσή του.</w:t>
      </w:r>
    </w:p>
    <w:p w:rsidR="007E5FC7" w:rsidRPr="00913182" w:rsidRDefault="007E5FC7" w:rsidP="000026B1">
      <w:pPr>
        <w:rPr>
          <w:rFonts w:cstheme="minorHAnsi"/>
          <w:b/>
          <w:sz w:val="24"/>
          <w:szCs w:val="24"/>
        </w:rPr>
      </w:pPr>
      <w:r w:rsidRPr="00913182">
        <w:rPr>
          <w:rFonts w:cstheme="minorHAnsi"/>
          <w:b/>
          <w:sz w:val="24"/>
          <w:szCs w:val="24"/>
        </w:rPr>
        <w:t>Επομένως, ούτε προτρέπουμε, ούτε βεβαίως αποτρέπουμε οποιονδήποτε συνάδελφο</w:t>
      </w:r>
      <w:r>
        <w:rPr>
          <w:rFonts w:cstheme="minorHAnsi"/>
          <w:sz w:val="24"/>
          <w:szCs w:val="24"/>
        </w:rPr>
        <w:t xml:space="preserve"> για τέτοιου είδους διεκδικήσεις. </w:t>
      </w:r>
      <w:r w:rsidRPr="00913182">
        <w:rPr>
          <w:rFonts w:cstheme="minorHAnsi"/>
          <w:b/>
          <w:sz w:val="24"/>
          <w:szCs w:val="24"/>
        </w:rPr>
        <w:t xml:space="preserve">Εξάλλου, για το συνδικαλιστικό κίνημα θα έχει θετικό αντίκρισμα, </w:t>
      </w:r>
      <w:r>
        <w:rPr>
          <w:rFonts w:cstheme="minorHAnsi"/>
          <w:sz w:val="24"/>
          <w:szCs w:val="24"/>
        </w:rPr>
        <w:t xml:space="preserve">αφού αναδεικνύονται φαινόμενα </w:t>
      </w:r>
      <w:r w:rsidR="00BC20C3">
        <w:rPr>
          <w:rFonts w:cstheme="minorHAnsi"/>
          <w:sz w:val="24"/>
          <w:szCs w:val="24"/>
        </w:rPr>
        <w:t xml:space="preserve">που έγιναν εις βάρος του εργαζομένου ή του συνταξιούχου, </w:t>
      </w:r>
      <w:r w:rsidR="00BC20C3" w:rsidRPr="00913182">
        <w:rPr>
          <w:rFonts w:cstheme="minorHAnsi"/>
          <w:b/>
          <w:sz w:val="24"/>
          <w:szCs w:val="24"/>
        </w:rPr>
        <w:t>ακόμη και στις περιπτώσεις που τ</w:t>
      </w:r>
      <w:r w:rsidR="00913182" w:rsidRPr="00913182">
        <w:rPr>
          <w:rFonts w:cstheme="minorHAnsi"/>
          <w:b/>
          <w:sz w:val="24"/>
          <w:szCs w:val="24"/>
        </w:rPr>
        <w:t>α αρμόδια δικαστήρια δεν δικαιών</w:t>
      </w:r>
      <w:r w:rsidR="00BC20C3" w:rsidRPr="00913182">
        <w:rPr>
          <w:rFonts w:cstheme="minorHAnsi"/>
          <w:b/>
          <w:sz w:val="24"/>
          <w:szCs w:val="24"/>
        </w:rPr>
        <w:t xml:space="preserve">ουν τους προσφεύγοντες. </w:t>
      </w:r>
    </w:p>
    <w:p w:rsidR="001D4EDE" w:rsidRPr="001D4EDE" w:rsidRDefault="001D4EDE" w:rsidP="00EA79D6">
      <w:pPr>
        <w:rPr>
          <w:rFonts w:cstheme="minorHAnsi"/>
          <w:sz w:val="24"/>
          <w:szCs w:val="24"/>
        </w:rPr>
      </w:pPr>
    </w:p>
    <w:p w:rsidR="003821E1" w:rsidRDefault="003821E1" w:rsidP="00682EFC">
      <w:pPr>
        <w:rPr>
          <w:rFonts w:cstheme="minorHAnsi"/>
          <w:sz w:val="24"/>
          <w:szCs w:val="24"/>
        </w:rPr>
      </w:pPr>
    </w:p>
    <w:p w:rsidR="00BC20C3" w:rsidRPr="00A31E06" w:rsidRDefault="00BC20C3" w:rsidP="00682EFC">
      <w:pPr>
        <w:rPr>
          <w:rFonts w:cstheme="minorHAnsi"/>
          <w:sz w:val="24"/>
          <w:szCs w:val="24"/>
        </w:rPr>
      </w:pPr>
    </w:p>
    <w:p w:rsidR="00A83238" w:rsidRPr="00A31E06" w:rsidRDefault="00A31E06" w:rsidP="00A83238">
      <w:pPr>
        <w:ind w:firstLine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89681A">
        <w:rPr>
          <w:rFonts w:cstheme="minorHAnsi"/>
          <w:b/>
          <w:sz w:val="24"/>
          <w:szCs w:val="24"/>
        </w:rPr>
        <w:t xml:space="preserve">  </w:t>
      </w:r>
      <w:r w:rsidRPr="00A31E06">
        <w:rPr>
          <w:rFonts w:cstheme="minorHAnsi"/>
          <w:b/>
          <w:sz w:val="24"/>
          <w:szCs w:val="24"/>
        </w:rPr>
        <w:t xml:space="preserve"> </w:t>
      </w:r>
      <w:r w:rsidR="00A83238" w:rsidRPr="00A31E06">
        <w:rPr>
          <w:rFonts w:cstheme="minorHAnsi"/>
          <w:b/>
          <w:sz w:val="24"/>
          <w:szCs w:val="24"/>
        </w:rPr>
        <w:t xml:space="preserve">  Πρόεδρος                                                                 Ο Γενικός Γραμματέας</w:t>
      </w:r>
    </w:p>
    <w:p w:rsidR="00A83238" w:rsidRPr="00A31E06" w:rsidRDefault="00A83238" w:rsidP="00A83238">
      <w:pPr>
        <w:ind w:firstLine="360"/>
        <w:jc w:val="both"/>
        <w:rPr>
          <w:rFonts w:cstheme="minorHAnsi"/>
          <w:b/>
          <w:sz w:val="24"/>
          <w:szCs w:val="24"/>
        </w:rPr>
      </w:pPr>
    </w:p>
    <w:p w:rsidR="00B92918" w:rsidRPr="00A31E06" w:rsidRDefault="0089681A" w:rsidP="00A8323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</w:t>
      </w:r>
      <w:r w:rsidR="00A83238" w:rsidRPr="00A31E06">
        <w:rPr>
          <w:rFonts w:cstheme="minorHAnsi"/>
          <w:b/>
          <w:sz w:val="24"/>
          <w:szCs w:val="24"/>
        </w:rPr>
        <w:t xml:space="preserve">Ηλίας Ηλιόπουλος        </w:t>
      </w:r>
      <w:r>
        <w:rPr>
          <w:rFonts w:cstheme="minorHAnsi"/>
          <w:b/>
          <w:sz w:val="24"/>
          <w:szCs w:val="24"/>
        </w:rPr>
        <w:t xml:space="preserve">                               </w:t>
      </w:r>
      <w:r w:rsidR="00A83238" w:rsidRPr="00A31E06">
        <w:rPr>
          <w:rFonts w:cstheme="minorHAnsi"/>
          <w:b/>
          <w:sz w:val="24"/>
          <w:szCs w:val="24"/>
        </w:rPr>
        <w:t xml:space="preserve"> </w:t>
      </w:r>
      <w:r w:rsidR="00A31E06" w:rsidRPr="00A31E06">
        <w:rPr>
          <w:rFonts w:cstheme="minorHAnsi"/>
          <w:b/>
          <w:sz w:val="24"/>
          <w:szCs w:val="24"/>
        </w:rPr>
        <w:t xml:space="preserve">   </w:t>
      </w:r>
      <w:r w:rsidR="00A83238" w:rsidRPr="00A31E06">
        <w:rPr>
          <w:rFonts w:cstheme="minorHAnsi"/>
          <w:b/>
          <w:sz w:val="24"/>
          <w:szCs w:val="24"/>
        </w:rPr>
        <w:t xml:space="preserve">              Νίκος Καρδαράκος</w:t>
      </w:r>
    </w:p>
    <w:sectPr w:rsidR="00B92918" w:rsidRPr="00A31E06" w:rsidSect="00784988"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590" w:rsidRDefault="00347590" w:rsidP="00217B24">
      <w:pPr>
        <w:spacing w:after="0" w:line="240" w:lineRule="auto"/>
      </w:pPr>
      <w:r>
        <w:separator/>
      </w:r>
    </w:p>
  </w:endnote>
  <w:endnote w:type="continuationSeparator" w:id="0">
    <w:p w:rsidR="00347590" w:rsidRDefault="00347590" w:rsidP="00217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7971113"/>
      <w:docPartObj>
        <w:docPartGallery w:val="Page Numbers (Bottom of Page)"/>
        <w:docPartUnique/>
      </w:docPartObj>
    </w:sdtPr>
    <w:sdtEndPr/>
    <w:sdtContent>
      <w:p w:rsidR="00217B24" w:rsidRDefault="00217B24">
        <w:pPr>
          <w:pStyle w:val="a6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D4AB8">
          <w:rPr>
            <w:noProof/>
          </w:rPr>
          <w:t>1</w:t>
        </w:r>
        <w:r>
          <w:fldChar w:fldCharType="end"/>
        </w:r>
        <w:r>
          <w:t>]</w:t>
        </w:r>
      </w:p>
    </w:sdtContent>
  </w:sdt>
  <w:p w:rsidR="00217B24" w:rsidRDefault="00217B2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590" w:rsidRDefault="00347590" w:rsidP="00217B24">
      <w:pPr>
        <w:spacing w:after="0" w:line="240" w:lineRule="auto"/>
      </w:pPr>
      <w:r>
        <w:separator/>
      </w:r>
    </w:p>
  </w:footnote>
  <w:footnote w:type="continuationSeparator" w:id="0">
    <w:p w:rsidR="00347590" w:rsidRDefault="00347590" w:rsidP="00217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A3788B"/>
    <w:multiLevelType w:val="hybridMultilevel"/>
    <w:tmpl w:val="180CE7B4"/>
    <w:lvl w:ilvl="0" w:tplc="7C7C440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5B"/>
    <w:rsid w:val="000026B1"/>
    <w:rsid w:val="0019082C"/>
    <w:rsid w:val="001D4EDE"/>
    <w:rsid w:val="001F5CC0"/>
    <w:rsid w:val="00217B24"/>
    <w:rsid w:val="00313E28"/>
    <w:rsid w:val="00347590"/>
    <w:rsid w:val="003821E1"/>
    <w:rsid w:val="003D4AB8"/>
    <w:rsid w:val="004132E4"/>
    <w:rsid w:val="00426ABA"/>
    <w:rsid w:val="00440946"/>
    <w:rsid w:val="00455BF4"/>
    <w:rsid w:val="0060035B"/>
    <w:rsid w:val="00643852"/>
    <w:rsid w:val="00682EFC"/>
    <w:rsid w:val="00684B9C"/>
    <w:rsid w:val="0070447F"/>
    <w:rsid w:val="00726326"/>
    <w:rsid w:val="00784988"/>
    <w:rsid w:val="007C6679"/>
    <w:rsid w:val="007D353C"/>
    <w:rsid w:val="007D6640"/>
    <w:rsid w:val="007E5FC7"/>
    <w:rsid w:val="0085412E"/>
    <w:rsid w:val="0089681A"/>
    <w:rsid w:val="008B5C2A"/>
    <w:rsid w:val="00913182"/>
    <w:rsid w:val="00977E32"/>
    <w:rsid w:val="00A15234"/>
    <w:rsid w:val="00A31E06"/>
    <w:rsid w:val="00A83238"/>
    <w:rsid w:val="00B0562C"/>
    <w:rsid w:val="00B92918"/>
    <w:rsid w:val="00B954CE"/>
    <w:rsid w:val="00BC20C3"/>
    <w:rsid w:val="00C05469"/>
    <w:rsid w:val="00C148AC"/>
    <w:rsid w:val="00C77824"/>
    <w:rsid w:val="00C935BF"/>
    <w:rsid w:val="00D80B9E"/>
    <w:rsid w:val="00DA4402"/>
    <w:rsid w:val="00DE44FF"/>
    <w:rsid w:val="00DF70F9"/>
    <w:rsid w:val="00E4235A"/>
    <w:rsid w:val="00E45679"/>
    <w:rsid w:val="00EA79D6"/>
    <w:rsid w:val="00ED162E"/>
    <w:rsid w:val="00F2495B"/>
    <w:rsid w:val="00FE3DE1"/>
    <w:rsid w:val="00F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F15E16-06BC-4F3A-B27C-859E3EB76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85412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82EFC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17B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217B24"/>
  </w:style>
  <w:style w:type="paragraph" w:styleId="a6">
    <w:name w:val="footer"/>
    <w:basedOn w:val="a"/>
    <w:link w:val="Char0"/>
    <w:uiPriority w:val="99"/>
    <w:unhideWhenUsed/>
    <w:rsid w:val="00217B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217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opolit@otenet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Γραμματέας</cp:lastModifiedBy>
  <cp:revision>2</cp:revision>
  <cp:lastPrinted>2026-04-02T08:54:00Z</cp:lastPrinted>
  <dcterms:created xsi:type="dcterms:W3CDTF">2026-06-12T16:42:00Z</dcterms:created>
  <dcterms:modified xsi:type="dcterms:W3CDTF">2026-06-12T16:42:00Z</dcterms:modified>
</cp:coreProperties>
</file>